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3227"/>
        <w:gridCol w:w="1393"/>
        <w:gridCol w:w="2311"/>
        <w:gridCol w:w="2311"/>
      </w:tblGrid>
      <w:tr w:rsidR="002E5788" w:rsidRPr="00F14444" w:rsidTr="003F6B01">
        <w:tc>
          <w:tcPr>
            <w:tcW w:w="3227" w:type="dxa"/>
          </w:tcPr>
          <w:p w:rsidR="002E5788" w:rsidRDefault="002E5788" w:rsidP="003F6B01">
            <w:pPr>
              <w:rPr>
                <w:rFonts w:ascii="Garamond" w:hAnsi="Garamond"/>
                <w:b/>
              </w:rPr>
            </w:pPr>
            <w:r w:rsidRPr="00F14444">
              <w:rPr>
                <w:rFonts w:ascii="Garamond" w:hAnsi="Garamond"/>
                <w:b/>
              </w:rPr>
              <w:t>Company Name</w:t>
            </w:r>
          </w:p>
          <w:p w:rsidR="002E5788" w:rsidRPr="00700B0B" w:rsidRDefault="002E5788" w:rsidP="003F6B01">
            <w:pPr>
              <w:jc w:val="center"/>
              <w:rPr>
                <w:rFonts w:ascii="Garamond" w:hAnsi="Garamond"/>
              </w:rPr>
            </w:pPr>
          </w:p>
        </w:tc>
        <w:tc>
          <w:tcPr>
            <w:tcW w:w="1393" w:type="dxa"/>
          </w:tcPr>
          <w:p w:rsidR="002E5788" w:rsidRPr="00F14444" w:rsidRDefault="002E5788" w:rsidP="003F6B01">
            <w:pPr>
              <w:rPr>
                <w:rFonts w:ascii="Garamond" w:hAnsi="Garamond"/>
                <w:b/>
              </w:rPr>
            </w:pPr>
            <w:r w:rsidRPr="00F14444">
              <w:rPr>
                <w:rFonts w:ascii="Garamond" w:hAnsi="Garamond"/>
                <w:b/>
              </w:rPr>
              <w:t>ASX Code</w:t>
            </w:r>
          </w:p>
        </w:tc>
        <w:tc>
          <w:tcPr>
            <w:tcW w:w="2311" w:type="dxa"/>
          </w:tcPr>
          <w:p w:rsidR="002E5788" w:rsidRPr="00F14444" w:rsidRDefault="002E5788" w:rsidP="003F6B01">
            <w:pPr>
              <w:rPr>
                <w:rFonts w:ascii="Garamond" w:hAnsi="Garamond"/>
                <w:b/>
              </w:rPr>
            </w:pPr>
            <w:r w:rsidRPr="00F14444">
              <w:rPr>
                <w:rFonts w:ascii="Garamond" w:hAnsi="Garamond"/>
                <w:b/>
              </w:rPr>
              <w:t>ASX Industry Classification</w:t>
            </w:r>
          </w:p>
          <w:p w:rsidR="002E5788" w:rsidRPr="00F14444" w:rsidRDefault="002E5788" w:rsidP="003F6B01">
            <w:pPr>
              <w:rPr>
                <w:rFonts w:ascii="Garamond" w:hAnsi="Garamond"/>
                <w:b/>
              </w:rPr>
            </w:pPr>
          </w:p>
        </w:tc>
        <w:tc>
          <w:tcPr>
            <w:tcW w:w="2311" w:type="dxa"/>
          </w:tcPr>
          <w:p w:rsidR="002E5788" w:rsidRPr="00F14444" w:rsidRDefault="002E5788" w:rsidP="003F6B01">
            <w:pPr>
              <w:rPr>
                <w:rFonts w:ascii="Garamond" w:hAnsi="Garamond"/>
                <w:b/>
              </w:rPr>
            </w:pPr>
            <w:r w:rsidRPr="00F14444">
              <w:rPr>
                <w:rFonts w:ascii="Garamond" w:hAnsi="Garamond"/>
                <w:b/>
              </w:rPr>
              <w:t>Principal Activities</w:t>
            </w:r>
          </w:p>
        </w:tc>
      </w:tr>
      <w:tr w:rsidR="002E5788" w:rsidRPr="00F14444" w:rsidTr="003F6B01">
        <w:tc>
          <w:tcPr>
            <w:tcW w:w="3227" w:type="dxa"/>
          </w:tcPr>
          <w:p w:rsidR="002E5788" w:rsidRPr="00F14444" w:rsidRDefault="002E5788" w:rsidP="003F6B01">
            <w:pPr>
              <w:rPr>
                <w:rFonts w:ascii="Garamond" w:hAnsi="Garamond"/>
              </w:rPr>
            </w:pPr>
            <w:r>
              <w:rPr>
                <w:rFonts w:ascii="Garamond" w:hAnsi="Garamond"/>
              </w:rPr>
              <w:t>ARB Corporation Ltd</w:t>
            </w:r>
          </w:p>
        </w:tc>
        <w:tc>
          <w:tcPr>
            <w:tcW w:w="1393" w:type="dxa"/>
          </w:tcPr>
          <w:p w:rsidR="002E5788" w:rsidRPr="00F14444" w:rsidRDefault="002E5788" w:rsidP="003F6B01">
            <w:pPr>
              <w:rPr>
                <w:rFonts w:ascii="Garamond" w:hAnsi="Garamond"/>
              </w:rPr>
            </w:pPr>
            <w:r>
              <w:rPr>
                <w:rFonts w:ascii="Garamond" w:hAnsi="Garamond"/>
              </w:rPr>
              <w:t>ARB</w:t>
            </w:r>
          </w:p>
        </w:tc>
        <w:tc>
          <w:tcPr>
            <w:tcW w:w="2311" w:type="dxa"/>
          </w:tcPr>
          <w:p w:rsidR="002E5788" w:rsidRDefault="002E5788" w:rsidP="003F6B01">
            <w:pPr>
              <w:rPr>
                <w:rFonts w:ascii="Garamond" w:hAnsi="Garamond"/>
              </w:rPr>
            </w:pPr>
            <w:r>
              <w:rPr>
                <w:rFonts w:ascii="Garamond" w:hAnsi="Garamond"/>
              </w:rPr>
              <w:t>Consumer discretionary</w:t>
            </w:r>
          </w:p>
          <w:p w:rsidR="002E5788" w:rsidRPr="00F14444" w:rsidRDefault="002E5788" w:rsidP="003F6B01">
            <w:pPr>
              <w:rPr>
                <w:rFonts w:ascii="Garamond" w:hAnsi="Garamond"/>
              </w:rPr>
            </w:pPr>
          </w:p>
        </w:tc>
        <w:tc>
          <w:tcPr>
            <w:tcW w:w="2311" w:type="dxa"/>
          </w:tcPr>
          <w:p w:rsidR="002E5788" w:rsidRDefault="002E5788" w:rsidP="003F6B01">
            <w:pPr>
              <w:rPr>
                <w:rFonts w:ascii="Garamond" w:hAnsi="Garamond"/>
              </w:rPr>
            </w:pPr>
            <w:r>
              <w:rPr>
                <w:rFonts w:ascii="Garamond" w:hAnsi="Garamond"/>
              </w:rPr>
              <w:t>Production, manufacture and sale of motor vehicle accessories</w:t>
            </w:r>
          </w:p>
          <w:p w:rsidR="002E5788" w:rsidRPr="00700B0B" w:rsidRDefault="002E5788" w:rsidP="003F6B01">
            <w:pPr>
              <w:rPr>
                <w:rFonts w:cstheme="minorHAnsi"/>
              </w:rPr>
            </w:pPr>
          </w:p>
        </w:tc>
      </w:tr>
    </w:tbl>
    <w:p w:rsidR="00F14444" w:rsidRPr="002E5788" w:rsidRDefault="00F14444" w:rsidP="00F14444">
      <w:pPr>
        <w:rPr>
          <w:rFonts w:ascii="Garamond" w:hAnsi="Garamond"/>
          <w:b/>
          <w:sz w:val="24"/>
          <w:szCs w:val="24"/>
        </w:rPr>
      </w:pPr>
    </w:p>
    <w:p w:rsidR="00395F8A" w:rsidRDefault="00F14444" w:rsidP="002E5788">
      <w:pPr>
        <w:autoSpaceDE w:val="0"/>
        <w:autoSpaceDN w:val="0"/>
        <w:adjustRightInd w:val="0"/>
        <w:spacing w:after="0"/>
        <w:rPr>
          <w:rFonts w:ascii="Garamond" w:hAnsi="Garamond"/>
          <w:sz w:val="24"/>
          <w:szCs w:val="24"/>
        </w:rPr>
      </w:pPr>
      <w:r w:rsidRPr="00F14444">
        <w:rPr>
          <w:rFonts w:ascii="Garamond" w:hAnsi="Garamond" w:cs="MyriadPro"/>
          <w:sz w:val="24"/>
          <w:szCs w:val="24"/>
        </w:rPr>
        <w:t>The students take the viewpoint of sell-side</w:t>
      </w:r>
      <w:r>
        <w:rPr>
          <w:rFonts w:ascii="Garamond" w:hAnsi="Garamond" w:cs="MyriadPro"/>
          <w:sz w:val="24"/>
          <w:szCs w:val="24"/>
        </w:rPr>
        <w:t xml:space="preserve"> </w:t>
      </w:r>
      <w:r w:rsidRPr="00F14444">
        <w:rPr>
          <w:rFonts w:ascii="Garamond" w:hAnsi="Garamond" w:cs="MyriadPro"/>
          <w:sz w:val="24"/>
          <w:szCs w:val="24"/>
        </w:rPr>
        <w:t>analysts. The markers take the viewpo</w:t>
      </w:r>
      <w:r>
        <w:rPr>
          <w:rFonts w:ascii="Garamond" w:hAnsi="Garamond" w:cs="MyriadPro"/>
          <w:sz w:val="24"/>
          <w:szCs w:val="24"/>
        </w:rPr>
        <w:t xml:space="preserve">int of shareholders educated in </w:t>
      </w:r>
      <w:r w:rsidRPr="00F14444">
        <w:rPr>
          <w:rFonts w:ascii="Garamond" w:hAnsi="Garamond" w:cs="MyriadPro"/>
          <w:sz w:val="24"/>
          <w:szCs w:val="24"/>
        </w:rPr>
        <w:t>accounting and finance but not necessarily intimately familiar with t</w:t>
      </w:r>
      <w:r>
        <w:rPr>
          <w:rFonts w:ascii="Garamond" w:hAnsi="Garamond" w:cs="MyriadPro"/>
          <w:sz w:val="24"/>
          <w:szCs w:val="24"/>
        </w:rPr>
        <w:t>he company subject to analysis</w:t>
      </w:r>
      <w:r w:rsidR="002E5788">
        <w:rPr>
          <w:rFonts w:ascii="Garamond" w:hAnsi="Garamond" w:cs="MyriadPro" w:hint="eastAsia"/>
          <w:sz w:val="24"/>
          <w:szCs w:val="24"/>
          <w:lang w:eastAsia="ko-KR"/>
        </w:rPr>
        <w:t xml:space="preserve">. </w:t>
      </w:r>
      <w:r w:rsidR="00395F8A" w:rsidRPr="00F14444">
        <w:rPr>
          <w:rFonts w:ascii="Garamond" w:hAnsi="Garamond"/>
          <w:sz w:val="24"/>
          <w:szCs w:val="24"/>
        </w:rPr>
        <w:t>Both in-text references and bibliography should be provided</w:t>
      </w:r>
      <w:r w:rsidR="00395F8A">
        <w:rPr>
          <w:rFonts w:ascii="Garamond" w:hAnsi="Garamond"/>
          <w:sz w:val="24"/>
          <w:szCs w:val="24"/>
        </w:rPr>
        <w:t xml:space="preserve"> in both reports</w:t>
      </w:r>
      <w:r w:rsidR="00395F8A" w:rsidRPr="00F14444">
        <w:rPr>
          <w:rFonts w:ascii="Garamond" w:hAnsi="Garamond"/>
          <w:sz w:val="24"/>
          <w:szCs w:val="24"/>
        </w:rPr>
        <w:t xml:space="preserve">. Commercial data services may be used to source annual report and other information. Any commercial data sources used should be acknowledged and referenced in the written report. Note that plagiarism from commercial analysts’ reports can be easily identified and will result in zero marks for the assignment. </w:t>
      </w:r>
    </w:p>
    <w:p w:rsidR="00395F8A" w:rsidRDefault="00395F8A" w:rsidP="00F14444">
      <w:pPr>
        <w:autoSpaceDE w:val="0"/>
        <w:autoSpaceDN w:val="0"/>
        <w:adjustRightInd w:val="0"/>
        <w:spacing w:after="0"/>
        <w:rPr>
          <w:rFonts w:ascii="Garamond" w:hAnsi="Garamond" w:cs="MyriadPro"/>
          <w:sz w:val="24"/>
          <w:szCs w:val="24"/>
        </w:rPr>
      </w:pPr>
    </w:p>
    <w:p w:rsidR="00395F8A" w:rsidRPr="00065596" w:rsidRDefault="00395F8A" w:rsidP="00395F8A">
      <w:pPr>
        <w:autoSpaceDE w:val="0"/>
        <w:autoSpaceDN w:val="0"/>
        <w:adjustRightInd w:val="0"/>
        <w:spacing w:after="0"/>
        <w:rPr>
          <w:rFonts w:ascii="Garamond" w:hAnsi="Garamond" w:cs="MyriadPro"/>
          <w:b/>
          <w:sz w:val="24"/>
          <w:szCs w:val="24"/>
        </w:rPr>
      </w:pPr>
      <w:r w:rsidRPr="00065596">
        <w:rPr>
          <w:rFonts w:ascii="Garamond" w:hAnsi="Garamond" w:cs="MyriadPro"/>
          <w:b/>
          <w:sz w:val="24"/>
          <w:szCs w:val="24"/>
        </w:rPr>
        <w:t xml:space="preserve">THE </w:t>
      </w:r>
      <w:r>
        <w:rPr>
          <w:rFonts w:ascii="Garamond" w:hAnsi="Garamond" w:cs="MyriadPro"/>
          <w:b/>
          <w:sz w:val="24"/>
          <w:szCs w:val="24"/>
        </w:rPr>
        <w:t xml:space="preserve">INDIVIDUAL </w:t>
      </w:r>
      <w:r w:rsidRPr="00065596">
        <w:rPr>
          <w:rFonts w:ascii="Garamond" w:hAnsi="Garamond" w:cs="MyriadPro"/>
          <w:b/>
          <w:sz w:val="24"/>
          <w:szCs w:val="24"/>
        </w:rPr>
        <w:t>REPORT</w:t>
      </w:r>
    </w:p>
    <w:p w:rsidR="00395F8A" w:rsidRDefault="00395F8A" w:rsidP="00395F8A">
      <w:pPr>
        <w:autoSpaceDE w:val="0"/>
        <w:autoSpaceDN w:val="0"/>
        <w:adjustRightInd w:val="0"/>
        <w:spacing w:after="0"/>
        <w:rPr>
          <w:rFonts w:ascii="Garamond" w:hAnsi="Garamond"/>
          <w:sz w:val="24"/>
          <w:szCs w:val="24"/>
        </w:rPr>
      </w:pPr>
      <w:r w:rsidRPr="00065596">
        <w:rPr>
          <w:rFonts w:ascii="Garamond" w:hAnsi="Garamond" w:cs="MyriadPro"/>
          <w:sz w:val="24"/>
          <w:szCs w:val="24"/>
        </w:rPr>
        <w:t xml:space="preserve">The report is to be </w:t>
      </w:r>
      <w:r w:rsidR="003E14E4">
        <w:rPr>
          <w:rFonts w:ascii="Garamond" w:hAnsi="Garamond" w:cs="MyriadPro"/>
          <w:sz w:val="24"/>
          <w:szCs w:val="24"/>
        </w:rPr>
        <w:t>up to 15</w:t>
      </w:r>
      <w:r>
        <w:rPr>
          <w:rFonts w:ascii="Garamond" w:hAnsi="Garamond" w:cs="MyriadPro"/>
          <w:sz w:val="24"/>
          <w:szCs w:val="24"/>
        </w:rPr>
        <w:t xml:space="preserve"> </w:t>
      </w:r>
      <w:r w:rsidRPr="00065596">
        <w:rPr>
          <w:rFonts w:ascii="Garamond" w:hAnsi="Garamond" w:cs="MyriadPro"/>
          <w:sz w:val="24"/>
          <w:szCs w:val="24"/>
        </w:rPr>
        <w:t xml:space="preserve">pages in length, excluding references and appendices. </w:t>
      </w:r>
      <w:r>
        <w:rPr>
          <w:rFonts w:ascii="Garamond" w:hAnsi="Garamond" w:cs="MyriadPro"/>
          <w:sz w:val="24"/>
          <w:szCs w:val="24"/>
        </w:rPr>
        <w:t xml:space="preserve"> The reports are to be in 1.5 spacing.  </w:t>
      </w:r>
      <w:r w:rsidRPr="00065596">
        <w:rPr>
          <w:rFonts w:ascii="Garamond" w:hAnsi="Garamond" w:cs="MyriadPro"/>
          <w:sz w:val="24"/>
          <w:szCs w:val="24"/>
        </w:rPr>
        <w:t>Th</w:t>
      </w:r>
      <w:r>
        <w:rPr>
          <w:rFonts w:ascii="Garamond" w:hAnsi="Garamond" w:cs="MyriadPro"/>
          <w:sz w:val="24"/>
          <w:szCs w:val="24"/>
        </w:rPr>
        <w:t>e reports will be marked out of 50.  The individual report covers the prospective analy</w:t>
      </w:r>
      <w:r w:rsidR="005D2DA3">
        <w:rPr>
          <w:rFonts w:ascii="Garamond" w:hAnsi="Garamond" w:cs="MyriadPro"/>
          <w:sz w:val="24"/>
          <w:szCs w:val="24"/>
        </w:rPr>
        <w:t xml:space="preserve">sis for the allocated company. </w:t>
      </w:r>
      <w:r>
        <w:rPr>
          <w:rFonts w:ascii="Garamond" w:hAnsi="Garamond" w:cs="MyriadPro"/>
          <w:sz w:val="24"/>
          <w:szCs w:val="24"/>
        </w:rPr>
        <w:t xml:space="preserve">Naturally students are required to conduct the prospective analysis for the same company allocated for the retrospective analysis.   The prospective analysis presented in the individual report is expected to be grounded in and follow from the retrospective analysis in the group reports.  </w:t>
      </w:r>
      <w:r>
        <w:rPr>
          <w:rFonts w:ascii="Garamond" w:hAnsi="Garamond"/>
          <w:sz w:val="24"/>
          <w:szCs w:val="24"/>
        </w:rPr>
        <w:t>The following sections should be included in the individual reports.</w:t>
      </w:r>
    </w:p>
    <w:p w:rsidR="005D07B8" w:rsidRPr="00395F8A" w:rsidRDefault="005D07B8" w:rsidP="00395F8A">
      <w:pPr>
        <w:autoSpaceDE w:val="0"/>
        <w:autoSpaceDN w:val="0"/>
        <w:adjustRightInd w:val="0"/>
        <w:spacing w:after="0"/>
        <w:rPr>
          <w:rFonts w:ascii="Garamond" w:hAnsi="Garamond" w:cs="MyriadPro"/>
          <w:sz w:val="24"/>
          <w:szCs w:val="24"/>
        </w:rPr>
      </w:pPr>
    </w:p>
    <w:p w:rsidR="00AB4BC0" w:rsidRPr="0061757B" w:rsidRDefault="00395F8A" w:rsidP="00065596">
      <w:pPr>
        <w:jc w:val="both"/>
        <w:rPr>
          <w:rFonts w:ascii="Garamond" w:hAnsi="Garamond"/>
          <w:b/>
          <w:color w:val="1F497D" w:themeColor="text2"/>
          <w:sz w:val="24"/>
          <w:szCs w:val="24"/>
          <w:highlight w:val="yellow"/>
        </w:rPr>
      </w:pPr>
      <w:r w:rsidRPr="0061757B">
        <w:rPr>
          <w:rFonts w:ascii="Garamond" w:hAnsi="Garamond"/>
          <w:b/>
          <w:bCs/>
          <w:iCs/>
          <w:color w:val="1F497D" w:themeColor="text2"/>
          <w:sz w:val="24"/>
          <w:szCs w:val="24"/>
          <w:highlight w:val="yellow"/>
        </w:rPr>
        <w:t>1</w:t>
      </w:r>
      <w:r w:rsidR="00065596" w:rsidRPr="0061757B">
        <w:rPr>
          <w:rFonts w:ascii="Garamond" w:hAnsi="Garamond"/>
          <w:b/>
          <w:bCs/>
          <w:iCs/>
          <w:color w:val="1F497D" w:themeColor="text2"/>
          <w:sz w:val="24"/>
          <w:szCs w:val="24"/>
          <w:highlight w:val="yellow"/>
        </w:rPr>
        <w:t>. Prospective Analysis</w:t>
      </w:r>
    </w:p>
    <w:p w:rsidR="00AB4BC0" w:rsidRPr="0061757B" w:rsidRDefault="00AB4BC0" w:rsidP="00065596">
      <w:pPr>
        <w:jc w:val="both"/>
        <w:rPr>
          <w:rFonts w:ascii="Garamond" w:hAnsi="Garamond"/>
          <w:b/>
          <w:i/>
          <w:color w:val="1F497D" w:themeColor="text2"/>
          <w:sz w:val="24"/>
          <w:szCs w:val="24"/>
          <w:highlight w:val="yellow"/>
        </w:rPr>
      </w:pPr>
      <w:r w:rsidRPr="0061757B">
        <w:rPr>
          <w:rFonts w:ascii="Garamond" w:hAnsi="Garamond"/>
          <w:b/>
          <w:i/>
          <w:color w:val="1F497D" w:themeColor="text2"/>
          <w:sz w:val="24"/>
          <w:szCs w:val="24"/>
          <w:highlight w:val="yellow"/>
        </w:rPr>
        <w:t>Forecasts</w:t>
      </w:r>
    </w:p>
    <w:p w:rsidR="00AB4BC0" w:rsidRPr="0061757B" w:rsidRDefault="00AB4BC0" w:rsidP="00065596">
      <w:pPr>
        <w:pStyle w:val="a7"/>
        <w:numPr>
          <w:ilvl w:val="0"/>
          <w:numId w:val="4"/>
        </w:numPr>
        <w:jc w:val="both"/>
        <w:rPr>
          <w:rFonts w:ascii="Garamond" w:hAnsi="Garamond"/>
          <w:b/>
          <w:color w:val="1F497D" w:themeColor="text2"/>
          <w:sz w:val="24"/>
          <w:szCs w:val="24"/>
          <w:highlight w:val="yellow"/>
        </w:rPr>
      </w:pPr>
      <w:r w:rsidRPr="0061757B">
        <w:rPr>
          <w:rFonts w:ascii="Garamond" w:hAnsi="Garamond"/>
          <w:b/>
          <w:color w:val="1F497D" w:themeColor="text2"/>
          <w:sz w:val="24"/>
          <w:szCs w:val="24"/>
          <w:highlight w:val="yellow"/>
        </w:rPr>
        <w:t>F</w:t>
      </w:r>
      <w:r w:rsidR="00065596" w:rsidRPr="0061757B">
        <w:rPr>
          <w:rFonts w:ascii="Garamond" w:hAnsi="Garamond"/>
          <w:b/>
          <w:color w:val="1F497D" w:themeColor="text2"/>
          <w:sz w:val="24"/>
          <w:szCs w:val="24"/>
          <w:highlight w:val="yellow"/>
        </w:rPr>
        <w:t>orecasts</w:t>
      </w:r>
      <w:r w:rsidR="001556D4" w:rsidRPr="0061757B">
        <w:rPr>
          <w:rFonts w:ascii="Garamond" w:hAnsi="Garamond"/>
          <w:b/>
          <w:color w:val="1F497D" w:themeColor="text2"/>
          <w:sz w:val="24"/>
          <w:szCs w:val="24"/>
          <w:highlight w:val="yellow"/>
        </w:rPr>
        <w:t xml:space="preserve"> of</w:t>
      </w:r>
      <w:r w:rsidR="00065596" w:rsidRPr="0061757B">
        <w:rPr>
          <w:rFonts w:ascii="Garamond" w:hAnsi="Garamond"/>
          <w:b/>
          <w:color w:val="1F497D" w:themeColor="text2"/>
          <w:sz w:val="24"/>
          <w:szCs w:val="24"/>
          <w:highlight w:val="yellow"/>
        </w:rPr>
        <w:t xml:space="preserve"> </w:t>
      </w:r>
      <w:r w:rsidRPr="0061757B">
        <w:rPr>
          <w:rFonts w:ascii="Garamond" w:hAnsi="Garamond"/>
          <w:b/>
          <w:color w:val="1F497D" w:themeColor="text2"/>
          <w:sz w:val="24"/>
          <w:szCs w:val="24"/>
          <w:highlight w:val="yellow"/>
        </w:rPr>
        <w:t>re-formatted</w:t>
      </w:r>
      <w:r w:rsidR="00065596" w:rsidRPr="0061757B">
        <w:rPr>
          <w:rFonts w:ascii="Garamond" w:hAnsi="Garamond"/>
          <w:b/>
          <w:color w:val="1F497D" w:themeColor="text2"/>
          <w:sz w:val="24"/>
          <w:szCs w:val="24"/>
          <w:highlight w:val="yellow"/>
        </w:rPr>
        <w:t xml:space="preserve"> income statements and balance sheets for the company for the next </w:t>
      </w:r>
      <w:r w:rsidR="00065596" w:rsidRPr="0061757B">
        <w:rPr>
          <w:rFonts w:ascii="Garamond" w:hAnsi="Garamond"/>
          <w:b/>
          <w:bCs/>
          <w:color w:val="1F497D" w:themeColor="text2"/>
          <w:sz w:val="24"/>
          <w:szCs w:val="24"/>
          <w:highlight w:val="yellow"/>
        </w:rPr>
        <w:t xml:space="preserve">five </w:t>
      </w:r>
      <w:r w:rsidR="001556D4" w:rsidRPr="0061757B">
        <w:rPr>
          <w:rFonts w:ascii="Garamond" w:hAnsi="Garamond"/>
          <w:b/>
          <w:color w:val="1F497D" w:themeColor="text2"/>
          <w:sz w:val="24"/>
          <w:szCs w:val="24"/>
          <w:highlight w:val="yellow"/>
        </w:rPr>
        <w:t xml:space="preserve">(5) financial years. </w:t>
      </w:r>
      <w:r w:rsidRPr="0061757B">
        <w:rPr>
          <w:rFonts w:ascii="Garamond" w:hAnsi="Garamond"/>
          <w:b/>
          <w:color w:val="1F497D" w:themeColor="text2"/>
          <w:sz w:val="24"/>
          <w:szCs w:val="24"/>
          <w:highlight w:val="yellow"/>
        </w:rPr>
        <w:t xml:space="preserve">Free </w:t>
      </w:r>
      <w:r w:rsidR="009C32F8" w:rsidRPr="0061757B">
        <w:rPr>
          <w:rFonts w:ascii="Garamond" w:hAnsi="Garamond"/>
          <w:b/>
          <w:color w:val="1F497D" w:themeColor="text2"/>
          <w:sz w:val="24"/>
          <w:szCs w:val="24"/>
          <w:highlight w:val="yellow"/>
        </w:rPr>
        <w:t xml:space="preserve">cash flow </w:t>
      </w:r>
      <w:r w:rsidRPr="0061757B">
        <w:rPr>
          <w:rFonts w:ascii="Garamond" w:hAnsi="Garamond"/>
          <w:b/>
          <w:color w:val="1F497D" w:themeColor="text2"/>
          <w:sz w:val="24"/>
          <w:szCs w:val="24"/>
          <w:highlight w:val="yellow"/>
        </w:rPr>
        <w:t xml:space="preserve">should also be forecast if students are going to conduct </w:t>
      </w:r>
      <w:r w:rsidR="009C32F8" w:rsidRPr="0061757B">
        <w:rPr>
          <w:rFonts w:ascii="Garamond" w:hAnsi="Garamond"/>
          <w:b/>
          <w:color w:val="1F497D" w:themeColor="text2"/>
          <w:sz w:val="24"/>
          <w:szCs w:val="24"/>
          <w:highlight w:val="yellow"/>
        </w:rPr>
        <w:t>free cash flow</w:t>
      </w:r>
      <w:r w:rsidRPr="0061757B">
        <w:rPr>
          <w:rFonts w:ascii="Garamond" w:hAnsi="Garamond"/>
          <w:b/>
          <w:color w:val="1F497D" w:themeColor="text2"/>
          <w:sz w:val="24"/>
          <w:szCs w:val="24"/>
          <w:highlight w:val="yellow"/>
        </w:rPr>
        <w:t xml:space="preserve"> valuation.</w:t>
      </w:r>
      <w:r w:rsidR="004577FB" w:rsidRPr="0061757B">
        <w:rPr>
          <w:rFonts w:ascii="Garamond" w:hAnsi="Garamond"/>
          <w:b/>
          <w:color w:val="1F497D" w:themeColor="text2"/>
          <w:sz w:val="24"/>
          <w:szCs w:val="24"/>
          <w:highlight w:val="yellow"/>
        </w:rPr>
        <w:t xml:space="preserve">  Students have the option of either forecasting Statements of </w:t>
      </w:r>
      <w:r w:rsidR="009C32F8" w:rsidRPr="0061757B">
        <w:rPr>
          <w:rFonts w:ascii="Garamond" w:hAnsi="Garamond"/>
          <w:b/>
          <w:color w:val="1F497D" w:themeColor="text2"/>
          <w:sz w:val="24"/>
          <w:szCs w:val="24"/>
          <w:highlight w:val="yellow"/>
        </w:rPr>
        <w:t xml:space="preserve">free cash flow </w:t>
      </w:r>
      <w:r w:rsidR="004577FB" w:rsidRPr="0061757B">
        <w:rPr>
          <w:rFonts w:ascii="Garamond" w:hAnsi="Garamond"/>
          <w:b/>
          <w:color w:val="1F497D" w:themeColor="text2"/>
          <w:sz w:val="24"/>
          <w:szCs w:val="24"/>
          <w:highlight w:val="yellow"/>
        </w:rPr>
        <w:t xml:space="preserve">or arriving at forecast </w:t>
      </w:r>
      <w:r w:rsidR="009C32F8" w:rsidRPr="0061757B">
        <w:rPr>
          <w:rFonts w:ascii="Garamond" w:hAnsi="Garamond"/>
          <w:b/>
          <w:color w:val="1F497D" w:themeColor="text2"/>
          <w:sz w:val="24"/>
          <w:szCs w:val="24"/>
          <w:highlight w:val="yellow"/>
        </w:rPr>
        <w:t>free cash flow</w:t>
      </w:r>
      <w:r w:rsidR="004577FB" w:rsidRPr="0061757B">
        <w:rPr>
          <w:rFonts w:ascii="Garamond" w:hAnsi="Garamond"/>
          <w:b/>
          <w:color w:val="1F497D" w:themeColor="text2"/>
          <w:sz w:val="24"/>
          <w:szCs w:val="24"/>
          <w:highlight w:val="yellow"/>
        </w:rPr>
        <w:t xml:space="preserve">, using data from the forecast </w:t>
      </w:r>
      <w:r w:rsidR="009C32F8" w:rsidRPr="0061757B">
        <w:rPr>
          <w:rFonts w:ascii="Garamond" w:hAnsi="Garamond"/>
          <w:b/>
          <w:color w:val="1F497D" w:themeColor="text2"/>
          <w:sz w:val="24"/>
          <w:szCs w:val="24"/>
          <w:highlight w:val="yellow"/>
        </w:rPr>
        <w:t>income statement and balance sheet</w:t>
      </w:r>
      <w:r w:rsidR="004577FB" w:rsidRPr="0061757B">
        <w:rPr>
          <w:rFonts w:ascii="Garamond" w:hAnsi="Garamond"/>
          <w:b/>
          <w:color w:val="1F497D" w:themeColor="text2"/>
          <w:sz w:val="24"/>
          <w:szCs w:val="24"/>
          <w:highlight w:val="yellow"/>
        </w:rPr>
        <w:t>.</w:t>
      </w:r>
      <w:r w:rsidR="00065596" w:rsidRPr="0061757B">
        <w:rPr>
          <w:rFonts w:ascii="Garamond" w:hAnsi="Garamond"/>
          <w:b/>
          <w:color w:val="1F497D" w:themeColor="text2"/>
          <w:sz w:val="24"/>
          <w:szCs w:val="24"/>
          <w:highlight w:val="yellow"/>
        </w:rPr>
        <w:t xml:space="preserve"> </w:t>
      </w:r>
    </w:p>
    <w:p w:rsidR="001556D4" w:rsidRPr="0061757B" w:rsidRDefault="001556D4" w:rsidP="00065596">
      <w:pPr>
        <w:pStyle w:val="a7"/>
        <w:numPr>
          <w:ilvl w:val="0"/>
          <w:numId w:val="4"/>
        </w:numPr>
        <w:jc w:val="both"/>
        <w:rPr>
          <w:rFonts w:ascii="Garamond" w:hAnsi="Garamond"/>
          <w:b/>
          <w:color w:val="1F497D" w:themeColor="text2"/>
          <w:sz w:val="24"/>
          <w:szCs w:val="24"/>
          <w:highlight w:val="yellow"/>
        </w:rPr>
      </w:pPr>
      <w:r w:rsidRPr="0061757B">
        <w:rPr>
          <w:rFonts w:ascii="Garamond" w:hAnsi="Garamond"/>
          <w:b/>
          <w:color w:val="1F497D" w:themeColor="text2"/>
          <w:sz w:val="24"/>
          <w:szCs w:val="24"/>
          <w:highlight w:val="yellow"/>
        </w:rPr>
        <w:t>Discussion of forecast assumptions and es</w:t>
      </w:r>
      <w:r w:rsidR="00132BC4" w:rsidRPr="0061757B">
        <w:rPr>
          <w:rFonts w:ascii="Garamond" w:hAnsi="Garamond"/>
          <w:b/>
          <w:color w:val="1F497D" w:themeColor="text2"/>
          <w:sz w:val="24"/>
          <w:szCs w:val="24"/>
          <w:highlight w:val="yellow"/>
        </w:rPr>
        <w:t>timation of forecast parameters</w:t>
      </w:r>
    </w:p>
    <w:p w:rsidR="00065596" w:rsidRPr="0061757B" w:rsidRDefault="00B5742C" w:rsidP="00065596">
      <w:pPr>
        <w:pStyle w:val="a7"/>
        <w:numPr>
          <w:ilvl w:val="0"/>
          <w:numId w:val="4"/>
        </w:numPr>
        <w:jc w:val="both"/>
        <w:rPr>
          <w:rFonts w:ascii="Garamond" w:hAnsi="Garamond"/>
          <w:b/>
          <w:color w:val="1F497D" w:themeColor="text2"/>
          <w:sz w:val="24"/>
          <w:szCs w:val="24"/>
          <w:highlight w:val="yellow"/>
        </w:rPr>
      </w:pPr>
      <w:r w:rsidRPr="0061757B">
        <w:rPr>
          <w:rFonts w:ascii="Garamond" w:hAnsi="Garamond"/>
          <w:b/>
          <w:color w:val="1F497D" w:themeColor="text2"/>
          <w:sz w:val="24"/>
          <w:szCs w:val="24"/>
          <w:highlight w:val="yellow"/>
        </w:rPr>
        <w:t xml:space="preserve">Discussion of the sensitivity analysis. The latter may be used to identify the </w:t>
      </w:r>
      <w:r w:rsidR="001556D4" w:rsidRPr="0061757B">
        <w:rPr>
          <w:rFonts w:ascii="Garamond" w:hAnsi="Garamond"/>
          <w:b/>
          <w:color w:val="1F497D" w:themeColor="text2"/>
          <w:sz w:val="24"/>
          <w:szCs w:val="24"/>
          <w:highlight w:val="yellow"/>
        </w:rPr>
        <w:t>assumptions upon which the forecasts most c</w:t>
      </w:r>
      <w:r w:rsidRPr="0061757B">
        <w:rPr>
          <w:rFonts w:ascii="Garamond" w:hAnsi="Garamond"/>
          <w:b/>
          <w:color w:val="1F497D" w:themeColor="text2"/>
          <w:sz w:val="24"/>
          <w:szCs w:val="24"/>
          <w:highlight w:val="yellow"/>
        </w:rPr>
        <w:t>ritically depend</w:t>
      </w:r>
      <w:r w:rsidR="004345D4" w:rsidRPr="0061757B">
        <w:rPr>
          <w:rFonts w:ascii="Garamond" w:hAnsi="Garamond"/>
          <w:b/>
          <w:color w:val="1F497D" w:themeColor="text2"/>
          <w:sz w:val="24"/>
          <w:szCs w:val="24"/>
          <w:highlight w:val="yellow"/>
        </w:rPr>
        <w:t>.</w:t>
      </w:r>
    </w:p>
    <w:p w:rsidR="001556D4" w:rsidRPr="00AB4BC0" w:rsidRDefault="001556D4" w:rsidP="001556D4">
      <w:pPr>
        <w:jc w:val="both"/>
        <w:rPr>
          <w:rFonts w:ascii="Garamond" w:hAnsi="Garamond"/>
          <w:b/>
          <w:i/>
          <w:sz w:val="24"/>
          <w:szCs w:val="24"/>
        </w:rPr>
      </w:pPr>
      <w:bookmarkStart w:id="0" w:name="_GoBack"/>
      <w:bookmarkEnd w:id="0"/>
      <w:r>
        <w:rPr>
          <w:rFonts w:ascii="Garamond" w:hAnsi="Garamond"/>
          <w:b/>
          <w:i/>
          <w:sz w:val="24"/>
          <w:szCs w:val="24"/>
        </w:rPr>
        <w:t>Valuations</w:t>
      </w:r>
    </w:p>
    <w:p w:rsidR="00065596" w:rsidRDefault="001556D4" w:rsidP="001556D4">
      <w:pPr>
        <w:pStyle w:val="a7"/>
        <w:numPr>
          <w:ilvl w:val="0"/>
          <w:numId w:val="5"/>
        </w:numPr>
        <w:jc w:val="both"/>
        <w:rPr>
          <w:rFonts w:ascii="Garamond" w:hAnsi="Garamond"/>
          <w:sz w:val="24"/>
          <w:szCs w:val="24"/>
        </w:rPr>
      </w:pPr>
      <w:r>
        <w:rPr>
          <w:rFonts w:ascii="Garamond" w:hAnsi="Garamond"/>
          <w:sz w:val="24"/>
          <w:szCs w:val="24"/>
        </w:rPr>
        <w:t>V</w:t>
      </w:r>
      <w:r w:rsidR="00065596" w:rsidRPr="001556D4">
        <w:rPr>
          <w:rFonts w:ascii="Garamond" w:hAnsi="Garamond"/>
          <w:sz w:val="24"/>
          <w:szCs w:val="24"/>
        </w:rPr>
        <w:t>aluation of the company using two diff</w:t>
      </w:r>
      <w:r>
        <w:rPr>
          <w:rFonts w:ascii="Garamond" w:hAnsi="Garamond"/>
          <w:sz w:val="24"/>
          <w:szCs w:val="24"/>
        </w:rPr>
        <w:t>erent methods.  One of the valuations must entail discounting of earnings, abnormal earnings, dividends or free cash flows.</w:t>
      </w:r>
    </w:p>
    <w:p w:rsidR="001556D4" w:rsidRDefault="001556D4" w:rsidP="001556D4">
      <w:pPr>
        <w:pStyle w:val="a7"/>
        <w:numPr>
          <w:ilvl w:val="0"/>
          <w:numId w:val="5"/>
        </w:numPr>
        <w:jc w:val="both"/>
        <w:rPr>
          <w:rFonts w:ascii="Garamond" w:hAnsi="Garamond"/>
          <w:sz w:val="24"/>
          <w:szCs w:val="24"/>
        </w:rPr>
      </w:pPr>
      <w:r>
        <w:rPr>
          <w:rFonts w:ascii="Garamond" w:hAnsi="Garamond"/>
          <w:sz w:val="24"/>
          <w:szCs w:val="24"/>
        </w:rPr>
        <w:t>Argumentation as to why the valuation methodologies chosen are appropria</w:t>
      </w:r>
      <w:r w:rsidR="0037446C">
        <w:rPr>
          <w:rFonts w:ascii="Garamond" w:hAnsi="Garamond"/>
          <w:sz w:val="24"/>
          <w:szCs w:val="24"/>
        </w:rPr>
        <w:t>te for the company being valued</w:t>
      </w:r>
    </w:p>
    <w:p w:rsidR="001556D4" w:rsidRDefault="001556D4" w:rsidP="001556D4">
      <w:pPr>
        <w:pStyle w:val="a7"/>
        <w:numPr>
          <w:ilvl w:val="0"/>
          <w:numId w:val="5"/>
        </w:numPr>
        <w:jc w:val="both"/>
        <w:rPr>
          <w:rFonts w:ascii="Garamond" w:hAnsi="Garamond"/>
          <w:sz w:val="24"/>
          <w:szCs w:val="24"/>
        </w:rPr>
      </w:pPr>
      <w:r>
        <w:rPr>
          <w:rFonts w:ascii="Garamond" w:hAnsi="Garamond"/>
          <w:sz w:val="24"/>
          <w:szCs w:val="24"/>
        </w:rPr>
        <w:lastRenderedPageBreak/>
        <w:t>Explanation of how the assumptions underlying the valuation and est</w:t>
      </w:r>
      <w:r w:rsidR="0037446C">
        <w:rPr>
          <w:rFonts w:ascii="Garamond" w:hAnsi="Garamond"/>
          <w:sz w:val="24"/>
          <w:szCs w:val="24"/>
        </w:rPr>
        <w:t>imation of valuation parameters</w:t>
      </w:r>
    </w:p>
    <w:p w:rsidR="001556D4" w:rsidRPr="001556D4" w:rsidRDefault="001556D4" w:rsidP="001556D4">
      <w:pPr>
        <w:pStyle w:val="a7"/>
        <w:numPr>
          <w:ilvl w:val="0"/>
          <w:numId w:val="5"/>
        </w:numPr>
        <w:jc w:val="both"/>
        <w:rPr>
          <w:rFonts w:ascii="Garamond" w:hAnsi="Garamond"/>
          <w:sz w:val="24"/>
          <w:szCs w:val="24"/>
        </w:rPr>
      </w:pPr>
      <w:r>
        <w:rPr>
          <w:rFonts w:ascii="Garamond" w:hAnsi="Garamond"/>
          <w:sz w:val="24"/>
          <w:szCs w:val="24"/>
        </w:rPr>
        <w:t>Estimation of value per share, including discussion of the input factors upon which the value most critically depends (identified via sensitivity analysis).</w:t>
      </w:r>
    </w:p>
    <w:p w:rsidR="00065596" w:rsidRPr="001556D4" w:rsidRDefault="00395F8A" w:rsidP="00065596">
      <w:pPr>
        <w:jc w:val="both"/>
        <w:rPr>
          <w:rFonts w:ascii="Garamond" w:hAnsi="Garamond"/>
          <w:sz w:val="24"/>
          <w:szCs w:val="24"/>
        </w:rPr>
      </w:pPr>
      <w:r>
        <w:rPr>
          <w:rFonts w:ascii="Garamond" w:hAnsi="Garamond"/>
          <w:b/>
          <w:bCs/>
          <w:iCs/>
          <w:sz w:val="24"/>
          <w:szCs w:val="24"/>
        </w:rPr>
        <w:t>2</w:t>
      </w:r>
      <w:r w:rsidR="00065596" w:rsidRPr="001556D4">
        <w:rPr>
          <w:rFonts w:ascii="Garamond" w:hAnsi="Garamond"/>
          <w:b/>
          <w:bCs/>
          <w:iCs/>
          <w:sz w:val="24"/>
          <w:szCs w:val="24"/>
        </w:rPr>
        <w:t xml:space="preserve">. Recommendation </w:t>
      </w:r>
      <w:r w:rsidR="00065596" w:rsidRPr="001556D4">
        <w:rPr>
          <w:rFonts w:ascii="Garamond" w:hAnsi="Garamond"/>
          <w:sz w:val="24"/>
          <w:szCs w:val="24"/>
        </w:rPr>
        <w:t xml:space="preserve">for the clients, </w:t>
      </w:r>
      <w:r w:rsidR="001556D4">
        <w:rPr>
          <w:rFonts w:ascii="Garamond" w:hAnsi="Garamond"/>
          <w:sz w:val="24"/>
          <w:szCs w:val="24"/>
        </w:rPr>
        <w:t>synthesising the report</w:t>
      </w:r>
      <w:r w:rsidR="00065596" w:rsidRPr="001556D4">
        <w:rPr>
          <w:rFonts w:ascii="Garamond" w:hAnsi="Garamond"/>
          <w:sz w:val="24"/>
          <w:szCs w:val="24"/>
        </w:rPr>
        <w:t xml:space="preserve">. </w:t>
      </w:r>
      <w:r>
        <w:rPr>
          <w:rFonts w:ascii="Garamond" w:hAnsi="Garamond"/>
          <w:sz w:val="24"/>
          <w:szCs w:val="24"/>
        </w:rPr>
        <w:t xml:space="preserve">  The synthesis should refer to the retrospective analysis conducted for the group report.</w:t>
      </w:r>
    </w:p>
    <w:p w:rsidR="00065596" w:rsidRPr="004345D4" w:rsidRDefault="00065596" w:rsidP="004345D4">
      <w:pPr>
        <w:pStyle w:val="a7"/>
        <w:numPr>
          <w:ilvl w:val="0"/>
          <w:numId w:val="8"/>
        </w:numPr>
        <w:jc w:val="both"/>
        <w:rPr>
          <w:rFonts w:ascii="Garamond" w:hAnsi="Garamond"/>
          <w:sz w:val="24"/>
          <w:szCs w:val="24"/>
        </w:rPr>
      </w:pPr>
      <w:r w:rsidRPr="004345D4">
        <w:rPr>
          <w:rFonts w:ascii="Garamond" w:hAnsi="Garamond"/>
          <w:sz w:val="24"/>
          <w:szCs w:val="24"/>
        </w:rPr>
        <w:t xml:space="preserve">A brief summary of the </w:t>
      </w:r>
      <w:r w:rsidR="001556D4" w:rsidRPr="004345D4">
        <w:rPr>
          <w:rFonts w:ascii="Garamond" w:hAnsi="Garamond"/>
          <w:sz w:val="24"/>
          <w:szCs w:val="24"/>
        </w:rPr>
        <w:t xml:space="preserve">principal conclusions </w:t>
      </w:r>
    </w:p>
    <w:p w:rsidR="00065596" w:rsidRPr="004345D4" w:rsidRDefault="00065596" w:rsidP="004345D4">
      <w:pPr>
        <w:pStyle w:val="a7"/>
        <w:numPr>
          <w:ilvl w:val="0"/>
          <w:numId w:val="8"/>
        </w:numPr>
        <w:jc w:val="both"/>
        <w:rPr>
          <w:rFonts w:ascii="Garamond" w:hAnsi="Garamond"/>
          <w:sz w:val="24"/>
          <w:szCs w:val="24"/>
        </w:rPr>
      </w:pPr>
      <w:r w:rsidRPr="004345D4">
        <w:rPr>
          <w:rFonts w:ascii="Garamond" w:hAnsi="Garamond"/>
          <w:sz w:val="24"/>
          <w:szCs w:val="24"/>
        </w:rPr>
        <w:t xml:space="preserve">A comparison of the estimated value per share with the market value, and a </w:t>
      </w:r>
      <w:r w:rsidR="001556D4" w:rsidRPr="004345D4">
        <w:rPr>
          <w:rFonts w:ascii="Garamond" w:hAnsi="Garamond"/>
          <w:sz w:val="24"/>
          <w:szCs w:val="24"/>
        </w:rPr>
        <w:t>portfolio recommendation.</w:t>
      </w:r>
    </w:p>
    <w:p w:rsidR="00065596" w:rsidRPr="00065596" w:rsidRDefault="00065596" w:rsidP="00065596">
      <w:pPr>
        <w:autoSpaceDE w:val="0"/>
        <w:autoSpaceDN w:val="0"/>
        <w:adjustRightInd w:val="0"/>
        <w:spacing w:after="0"/>
        <w:rPr>
          <w:rFonts w:ascii="Garamond" w:hAnsi="Garamond" w:cs="MyriadPro"/>
          <w:sz w:val="24"/>
          <w:szCs w:val="24"/>
        </w:rPr>
      </w:pPr>
    </w:p>
    <w:p w:rsidR="00395F8A" w:rsidRDefault="004345D4" w:rsidP="004345D4">
      <w:pPr>
        <w:jc w:val="both"/>
        <w:rPr>
          <w:rFonts w:ascii="Garamond" w:hAnsi="Garamond"/>
          <w:sz w:val="24"/>
          <w:szCs w:val="24"/>
        </w:rPr>
      </w:pPr>
      <w:r>
        <w:rPr>
          <w:rFonts w:ascii="Garamond" w:hAnsi="Garamond"/>
          <w:sz w:val="24"/>
          <w:szCs w:val="24"/>
        </w:rPr>
        <w:t>Valuations are required to be performed as at the balance date of the financial sta</w:t>
      </w:r>
      <w:r w:rsidR="00F17EC3">
        <w:rPr>
          <w:rFonts w:ascii="Garamond" w:hAnsi="Garamond"/>
          <w:sz w:val="24"/>
          <w:szCs w:val="24"/>
        </w:rPr>
        <w:t>tements released during the 2016</w:t>
      </w:r>
      <w:r>
        <w:rPr>
          <w:rFonts w:ascii="Garamond" w:hAnsi="Garamond"/>
          <w:sz w:val="24"/>
          <w:szCs w:val="24"/>
        </w:rPr>
        <w:t xml:space="preserve"> cale</w:t>
      </w:r>
      <w:r w:rsidR="00F17EC3">
        <w:rPr>
          <w:rFonts w:ascii="Garamond" w:hAnsi="Garamond"/>
          <w:sz w:val="24"/>
          <w:szCs w:val="24"/>
        </w:rPr>
        <w:t>ndar year (i.e., 1 January, 2016</w:t>
      </w:r>
      <w:r w:rsidR="00485DE3">
        <w:rPr>
          <w:rFonts w:ascii="Garamond" w:hAnsi="Garamond"/>
          <w:sz w:val="24"/>
          <w:szCs w:val="24"/>
        </w:rPr>
        <w:t xml:space="preserve"> –</w:t>
      </w:r>
      <w:r w:rsidR="00F17EC3">
        <w:rPr>
          <w:rFonts w:ascii="Garamond" w:hAnsi="Garamond"/>
          <w:sz w:val="24"/>
          <w:szCs w:val="24"/>
        </w:rPr>
        <w:t xml:space="preserve"> 31 December, 2016</w:t>
      </w:r>
      <w:r>
        <w:rPr>
          <w:rFonts w:ascii="Garamond" w:hAnsi="Garamond"/>
          <w:sz w:val="24"/>
          <w:szCs w:val="24"/>
        </w:rPr>
        <w:t xml:space="preserve">).  </w:t>
      </w:r>
    </w:p>
    <w:p w:rsidR="001E5954" w:rsidRDefault="001E5954" w:rsidP="001E5954">
      <w:pPr>
        <w:jc w:val="both"/>
        <w:rPr>
          <w:rFonts w:ascii="Garamond" w:hAnsi="Garamond"/>
          <w:sz w:val="24"/>
          <w:szCs w:val="24"/>
        </w:rPr>
      </w:pPr>
    </w:p>
    <w:sectPr w:rsidR="001E595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EA7" w:rsidRDefault="00C80EA7" w:rsidP="008A5B47">
      <w:pPr>
        <w:spacing w:after="0" w:line="240" w:lineRule="auto"/>
      </w:pPr>
      <w:r>
        <w:separator/>
      </w:r>
    </w:p>
  </w:endnote>
  <w:endnote w:type="continuationSeparator" w:id="0">
    <w:p w:rsidR="00C80EA7" w:rsidRDefault="00C80EA7" w:rsidP="008A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dPro">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234901"/>
      <w:docPartObj>
        <w:docPartGallery w:val="Page Numbers (Bottom of Page)"/>
        <w:docPartUnique/>
      </w:docPartObj>
    </w:sdtPr>
    <w:sdtEndPr>
      <w:rPr>
        <w:noProof/>
      </w:rPr>
    </w:sdtEndPr>
    <w:sdtContent>
      <w:p w:rsidR="004577FB" w:rsidRDefault="004577FB">
        <w:pPr>
          <w:pStyle w:val="a5"/>
          <w:jc w:val="center"/>
        </w:pPr>
        <w:r>
          <w:fldChar w:fldCharType="begin"/>
        </w:r>
        <w:r>
          <w:instrText xml:space="preserve"> PAGE   \* MERGEFORMAT </w:instrText>
        </w:r>
        <w:r>
          <w:fldChar w:fldCharType="separate"/>
        </w:r>
        <w:r w:rsidR="0061757B">
          <w:rPr>
            <w:noProof/>
          </w:rPr>
          <w:t>1</w:t>
        </w:r>
        <w:r>
          <w:rPr>
            <w:noProof/>
          </w:rPr>
          <w:fldChar w:fldCharType="end"/>
        </w:r>
      </w:p>
    </w:sdtContent>
  </w:sdt>
  <w:p w:rsidR="004577FB" w:rsidRDefault="004577F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EA7" w:rsidRDefault="00C80EA7" w:rsidP="008A5B47">
      <w:pPr>
        <w:spacing w:after="0" w:line="240" w:lineRule="auto"/>
      </w:pPr>
      <w:r>
        <w:separator/>
      </w:r>
    </w:p>
  </w:footnote>
  <w:footnote w:type="continuationSeparator" w:id="0">
    <w:p w:rsidR="00C80EA7" w:rsidRDefault="00C80EA7" w:rsidP="008A5B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30AA5"/>
    <w:multiLevelType w:val="hybridMultilevel"/>
    <w:tmpl w:val="12885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F931DD4"/>
    <w:multiLevelType w:val="hybridMultilevel"/>
    <w:tmpl w:val="EF32D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C1E509F"/>
    <w:multiLevelType w:val="hybridMultilevel"/>
    <w:tmpl w:val="417E0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57B23FE"/>
    <w:multiLevelType w:val="hybridMultilevel"/>
    <w:tmpl w:val="03808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0CF3565"/>
    <w:multiLevelType w:val="hybridMultilevel"/>
    <w:tmpl w:val="3EA6CED6"/>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5">
    <w:nsid w:val="3FD17AC0"/>
    <w:multiLevelType w:val="hybridMultilevel"/>
    <w:tmpl w:val="B3BEF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FDD3FDE"/>
    <w:multiLevelType w:val="hybridMultilevel"/>
    <w:tmpl w:val="F6D62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63E75CA"/>
    <w:multiLevelType w:val="hybridMultilevel"/>
    <w:tmpl w:val="2F8A0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5BF"/>
    <w:rsid w:val="00065596"/>
    <w:rsid w:val="00074DA9"/>
    <w:rsid w:val="000A7878"/>
    <w:rsid w:val="00132BC4"/>
    <w:rsid w:val="00145495"/>
    <w:rsid w:val="00152533"/>
    <w:rsid w:val="001556D4"/>
    <w:rsid w:val="00182DB2"/>
    <w:rsid w:val="001E0B49"/>
    <w:rsid w:val="001E5954"/>
    <w:rsid w:val="001F2B55"/>
    <w:rsid w:val="002025BF"/>
    <w:rsid w:val="00230A13"/>
    <w:rsid w:val="00234A43"/>
    <w:rsid w:val="00242D04"/>
    <w:rsid w:val="00246432"/>
    <w:rsid w:val="002E5788"/>
    <w:rsid w:val="003311BC"/>
    <w:rsid w:val="0037446C"/>
    <w:rsid w:val="00395F8A"/>
    <w:rsid w:val="003A5AAB"/>
    <w:rsid w:val="003E14E4"/>
    <w:rsid w:val="004345D4"/>
    <w:rsid w:val="004577FB"/>
    <w:rsid w:val="00485DE3"/>
    <w:rsid w:val="004F4A6B"/>
    <w:rsid w:val="0050151F"/>
    <w:rsid w:val="0059206B"/>
    <w:rsid w:val="005D07B8"/>
    <w:rsid w:val="005D2DA3"/>
    <w:rsid w:val="005F22D2"/>
    <w:rsid w:val="0061757B"/>
    <w:rsid w:val="00673FBE"/>
    <w:rsid w:val="006C1298"/>
    <w:rsid w:val="006E1061"/>
    <w:rsid w:val="00700B0B"/>
    <w:rsid w:val="00717F7D"/>
    <w:rsid w:val="00732DBA"/>
    <w:rsid w:val="0078006A"/>
    <w:rsid w:val="007802B5"/>
    <w:rsid w:val="0079239D"/>
    <w:rsid w:val="008031E8"/>
    <w:rsid w:val="008227CF"/>
    <w:rsid w:val="00863CAF"/>
    <w:rsid w:val="00897340"/>
    <w:rsid w:val="008A5B47"/>
    <w:rsid w:val="00910EE2"/>
    <w:rsid w:val="009214EC"/>
    <w:rsid w:val="00933B5D"/>
    <w:rsid w:val="009C2C51"/>
    <w:rsid w:val="009C32F8"/>
    <w:rsid w:val="00A03799"/>
    <w:rsid w:val="00A15EB7"/>
    <w:rsid w:val="00AB4BC0"/>
    <w:rsid w:val="00AE6D3C"/>
    <w:rsid w:val="00B02A74"/>
    <w:rsid w:val="00B5742C"/>
    <w:rsid w:val="00B870AE"/>
    <w:rsid w:val="00C02CCF"/>
    <w:rsid w:val="00C154BF"/>
    <w:rsid w:val="00C80EA7"/>
    <w:rsid w:val="00CC2FB7"/>
    <w:rsid w:val="00DB781A"/>
    <w:rsid w:val="00DC41D9"/>
    <w:rsid w:val="00DE0569"/>
    <w:rsid w:val="00EE6FB9"/>
    <w:rsid w:val="00EF429B"/>
    <w:rsid w:val="00F14444"/>
    <w:rsid w:val="00F17EC3"/>
    <w:rsid w:val="00F377C6"/>
    <w:rsid w:val="00F77B76"/>
    <w:rsid w:val="00F96D06"/>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23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8A5B47"/>
    <w:pPr>
      <w:tabs>
        <w:tab w:val="center" w:pos="4513"/>
        <w:tab w:val="right" w:pos="9026"/>
      </w:tabs>
      <w:spacing w:after="0" w:line="240" w:lineRule="auto"/>
    </w:pPr>
  </w:style>
  <w:style w:type="character" w:customStyle="1" w:styleId="Char">
    <w:name w:val="머리글 Char"/>
    <w:basedOn w:val="a0"/>
    <w:link w:val="a4"/>
    <w:uiPriority w:val="99"/>
    <w:rsid w:val="008A5B47"/>
  </w:style>
  <w:style w:type="paragraph" w:styleId="a5">
    <w:name w:val="footer"/>
    <w:basedOn w:val="a"/>
    <w:link w:val="Char0"/>
    <w:uiPriority w:val="99"/>
    <w:unhideWhenUsed/>
    <w:rsid w:val="008A5B47"/>
    <w:pPr>
      <w:tabs>
        <w:tab w:val="center" w:pos="4513"/>
        <w:tab w:val="right" w:pos="9026"/>
      </w:tabs>
      <w:spacing w:after="0" w:line="240" w:lineRule="auto"/>
    </w:pPr>
  </w:style>
  <w:style w:type="character" w:customStyle="1" w:styleId="Char0">
    <w:name w:val="바닥글 Char"/>
    <w:basedOn w:val="a0"/>
    <w:link w:val="a5"/>
    <w:uiPriority w:val="99"/>
    <w:rsid w:val="008A5B47"/>
  </w:style>
  <w:style w:type="character" w:styleId="a6">
    <w:name w:val="Hyperlink"/>
    <w:basedOn w:val="a0"/>
    <w:uiPriority w:val="99"/>
    <w:unhideWhenUsed/>
    <w:rsid w:val="008A5B47"/>
    <w:rPr>
      <w:color w:val="0000FF" w:themeColor="hyperlink"/>
      <w:u w:val="single"/>
    </w:rPr>
  </w:style>
  <w:style w:type="paragraph" w:styleId="a7">
    <w:name w:val="List Paragraph"/>
    <w:basedOn w:val="a"/>
    <w:uiPriority w:val="34"/>
    <w:qFormat/>
    <w:rsid w:val="00065596"/>
    <w:pPr>
      <w:ind w:left="720"/>
      <w:contextualSpacing/>
    </w:pPr>
  </w:style>
  <w:style w:type="paragraph" w:styleId="a8">
    <w:name w:val="Balloon Text"/>
    <w:basedOn w:val="a"/>
    <w:link w:val="Char1"/>
    <w:uiPriority w:val="99"/>
    <w:semiHidden/>
    <w:unhideWhenUsed/>
    <w:rsid w:val="00B02A74"/>
    <w:pPr>
      <w:spacing w:after="0" w:line="240" w:lineRule="auto"/>
    </w:pPr>
    <w:rPr>
      <w:rFonts w:ascii="Segoe UI" w:hAnsi="Segoe UI" w:cs="Segoe UI"/>
      <w:sz w:val="18"/>
      <w:szCs w:val="18"/>
    </w:rPr>
  </w:style>
  <w:style w:type="character" w:customStyle="1" w:styleId="Char1">
    <w:name w:val="풍선 도움말 텍스트 Char"/>
    <w:basedOn w:val="a0"/>
    <w:link w:val="a8"/>
    <w:uiPriority w:val="99"/>
    <w:semiHidden/>
    <w:rsid w:val="00B02A74"/>
    <w:rPr>
      <w:rFonts w:ascii="Segoe UI" w:hAnsi="Segoe UI" w:cs="Segoe UI"/>
      <w:sz w:val="18"/>
      <w:szCs w:val="18"/>
    </w:rPr>
  </w:style>
  <w:style w:type="paragraph" w:styleId="a9">
    <w:name w:val="Body Text"/>
    <w:basedOn w:val="a"/>
    <w:link w:val="Char2"/>
    <w:rsid w:val="00145495"/>
    <w:pPr>
      <w:spacing w:after="0" w:line="360" w:lineRule="auto"/>
      <w:jc w:val="center"/>
    </w:pPr>
    <w:rPr>
      <w:rFonts w:ascii="Times New Roman" w:eastAsia="Times New Roman" w:hAnsi="Times New Roman" w:cs="Times New Roman"/>
      <w:sz w:val="24"/>
      <w:szCs w:val="20"/>
      <w:lang w:val="en-US" w:eastAsia="en-AU"/>
    </w:rPr>
  </w:style>
  <w:style w:type="character" w:customStyle="1" w:styleId="Char2">
    <w:name w:val="본문 Char"/>
    <w:basedOn w:val="a0"/>
    <w:link w:val="a9"/>
    <w:rsid w:val="00145495"/>
    <w:rPr>
      <w:rFonts w:ascii="Times New Roman" w:eastAsia="Times New Roman" w:hAnsi="Times New Roman" w:cs="Times New Roman"/>
      <w:sz w:val="24"/>
      <w:szCs w:val="20"/>
      <w:lang w:val="en-US"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23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8A5B47"/>
    <w:pPr>
      <w:tabs>
        <w:tab w:val="center" w:pos="4513"/>
        <w:tab w:val="right" w:pos="9026"/>
      </w:tabs>
      <w:spacing w:after="0" w:line="240" w:lineRule="auto"/>
    </w:pPr>
  </w:style>
  <w:style w:type="character" w:customStyle="1" w:styleId="Char">
    <w:name w:val="머리글 Char"/>
    <w:basedOn w:val="a0"/>
    <w:link w:val="a4"/>
    <w:uiPriority w:val="99"/>
    <w:rsid w:val="008A5B47"/>
  </w:style>
  <w:style w:type="paragraph" w:styleId="a5">
    <w:name w:val="footer"/>
    <w:basedOn w:val="a"/>
    <w:link w:val="Char0"/>
    <w:uiPriority w:val="99"/>
    <w:unhideWhenUsed/>
    <w:rsid w:val="008A5B47"/>
    <w:pPr>
      <w:tabs>
        <w:tab w:val="center" w:pos="4513"/>
        <w:tab w:val="right" w:pos="9026"/>
      </w:tabs>
      <w:spacing w:after="0" w:line="240" w:lineRule="auto"/>
    </w:pPr>
  </w:style>
  <w:style w:type="character" w:customStyle="1" w:styleId="Char0">
    <w:name w:val="바닥글 Char"/>
    <w:basedOn w:val="a0"/>
    <w:link w:val="a5"/>
    <w:uiPriority w:val="99"/>
    <w:rsid w:val="008A5B47"/>
  </w:style>
  <w:style w:type="character" w:styleId="a6">
    <w:name w:val="Hyperlink"/>
    <w:basedOn w:val="a0"/>
    <w:uiPriority w:val="99"/>
    <w:unhideWhenUsed/>
    <w:rsid w:val="008A5B47"/>
    <w:rPr>
      <w:color w:val="0000FF" w:themeColor="hyperlink"/>
      <w:u w:val="single"/>
    </w:rPr>
  </w:style>
  <w:style w:type="paragraph" w:styleId="a7">
    <w:name w:val="List Paragraph"/>
    <w:basedOn w:val="a"/>
    <w:uiPriority w:val="34"/>
    <w:qFormat/>
    <w:rsid w:val="00065596"/>
    <w:pPr>
      <w:ind w:left="720"/>
      <w:contextualSpacing/>
    </w:pPr>
  </w:style>
  <w:style w:type="paragraph" w:styleId="a8">
    <w:name w:val="Balloon Text"/>
    <w:basedOn w:val="a"/>
    <w:link w:val="Char1"/>
    <w:uiPriority w:val="99"/>
    <w:semiHidden/>
    <w:unhideWhenUsed/>
    <w:rsid w:val="00B02A74"/>
    <w:pPr>
      <w:spacing w:after="0" w:line="240" w:lineRule="auto"/>
    </w:pPr>
    <w:rPr>
      <w:rFonts w:ascii="Segoe UI" w:hAnsi="Segoe UI" w:cs="Segoe UI"/>
      <w:sz w:val="18"/>
      <w:szCs w:val="18"/>
    </w:rPr>
  </w:style>
  <w:style w:type="character" w:customStyle="1" w:styleId="Char1">
    <w:name w:val="풍선 도움말 텍스트 Char"/>
    <w:basedOn w:val="a0"/>
    <w:link w:val="a8"/>
    <w:uiPriority w:val="99"/>
    <w:semiHidden/>
    <w:rsid w:val="00B02A74"/>
    <w:rPr>
      <w:rFonts w:ascii="Segoe UI" w:hAnsi="Segoe UI" w:cs="Segoe UI"/>
      <w:sz w:val="18"/>
      <w:szCs w:val="18"/>
    </w:rPr>
  </w:style>
  <w:style w:type="paragraph" w:styleId="a9">
    <w:name w:val="Body Text"/>
    <w:basedOn w:val="a"/>
    <w:link w:val="Char2"/>
    <w:rsid w:val="00145495"/>
    <w:pPr>
      <w:spacing w:after="0" w:line="360" w:lineRule="auto"/>
      <w:jc w:val="center"/>
    </w:pPr>
    <w:rPr>
      <w:rFonts w:ascii="Times New Roman" w:eastAsia="Times New Roman" w:hAnsi="Times New Roman" w:cs="Times New Roman"/>
      <w:sz w:val="24"/>
      <w:szCs w:val="20"/>
      <w:lang w:val="en-US" w:eastAsia="en-AU"/>
    </w:rPr>
  </w:style>
  <w:style w:type="character" w:customStyle="1" w:styleId="Char2">
    <w:name w:val="본문 Char"/>
    <w:basedOn w:val="a0"/>
    <w:link w:val="a9"/>
    <w:rsid w:val="00145495"/>
    <w:rPr>
      <w:rFonts w:ascii="Times New Roman" w:eastAsia="Times New Roman" w:hAnsi="Times New Roman" w:cs="Times New Roman"/>
      <w:sz w:val="24"/>
      <w:szCs w:val="20"/>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6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2612</Characters>
  <Application>Microsoft Office Word</Application>
  <DocSecurity>0</DocSecurity>
  <Lines>21</Lines>
  <Paragraphs>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Macquarie University</Company>
  <LinksUpToDate>false</LinksUpToDate>
  <CharactersWithSpaces>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Philip Sinnadurai</dc:creator>
  <cp:lastModifiedBy>김나경</cp:lastModifiedBy>
  <cp:revision>2</cp:revision>
  <cp:lastPrinted>2016-03-04T03:32:00Z</cp:lastPrinted>
  <dcterms:created xsi:type="dcterms:W3CDTF">2017-06-05T05:10:00Z</dcterms:created>
  <dcterms:modified xsi:type="dcterms:W3CDTF">2017-06-05T05:10:00Z</dcterms:modified>
</cp:coreProperties>
</file>